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zawarta w dniu ….................r.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............................................................................................................................................................... reprezentowanym przez …....................................................................................................................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Najemcą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43/20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Dyrektora Szpitala Powiatowego im. Jana Pawła II w Bartoszycach z dnia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30.06.2020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Wynajmujący oddaje a Najemca bierze do używania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powierzchni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160,44m2.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zlokalizowa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nych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budynku Wynajmującego w Bartoszycach przy ul. Wyszyńskiego 11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(budynek E)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Najemca zobowiązuje się wykorzystywać przedmiot najmu zgodnie z jego przeznaczeniem na cele: prowadzenie pracowni rezonansu magnetycznego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wraz z dostosowaniem do wewnętrznych ciągów komunikacji budynku A1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Przejęcie przez Najemcę przedmiotu najmu nastąpi w dniu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11.07.2020 r.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1) prowadzenie bieżących napraw i drobnych remontów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przedmiotu najmu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przestrzeganie w trakcie wykorzystywania przedmiotu najmu Przepisów BHP i Ppoż.;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4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5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)przekazanie Wynajmującemu w dniu rozwiązania umowy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powierzchni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stanowiąc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ych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6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7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8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9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0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) </w:t>
      </w:r>
      <w:r>
        <w:rPr>
          <w:rFonts w:eastAsia="Arial" w:cs="Times New Roman" w:ascii="Times New Roman" w:hAnsi="Times New Roman"/>
          <w:b w:val="false"/>
          <w:bCs w:val="false"/>
          <w:color w:val="auto"/>
          <w:spacing w:val="0"/>
          <w:sz w:val="21"/>
          <w:szCs w:val="21"/>
          <w:shd w:fill="auto" w:val="clear"/>
        </w:rPr>
        <w:t xml:space="preserve">dostosowanie </w:t>
      </w:r>
      <w:r>
        <w:rPr>
          <w:rFonts w:eastAsia="Arial" w:cs="Times New Roman" w:ascii="Times New Roman" w:hAnsi="Times New Roman"/>
          <w:b w:val="false"/>
          <w:bCs w:val="false"/>
          <w:color w:val="auto"/>
          <w:spacing w:val="0"/>
          <w:sz w:val="21"/>
          <w:szCs w:val="21"/>
          <w:shd w:fill="auto" w:val="clear"/>
        </w:rPr>
        <w:t xml:space="preserve">powierzchni </w:t>
      </w:r>
      <w:r>
        <w:rPr>
          <w:rFonts w:eastAsia="Arial" w:cs="Times New Roman" w:ascii="Times New Roman" w:hAnsi="Times New Roman"/>
          <w:b w:val="false"/>
          <w:bCs w:val="false"/>
          <w:color w:val="auto"/>
          <w:spacing w:val="0"/>
          <w:sz w:val="21"/>
          <w:szCs w:val="21"/>
          <w:shd w:fill="auto" w:val="clear"/>
        </w:rPr>
        <w:t>do wewnętrznych ciągów komunikacyjnych budynku A1 Wynajmującego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Umowa zostaje zawarta na czas określony od dnia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11.07.2020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r. do dnia 30.04.2027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ma prawo rozwiązać niniejszą umowę z zachowaniem 2-miesięcznego okresu wypowiedzenia ze skutkiem na koniec miesiąca, dokonanego na piśmie pod rygorem nieważności.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auto"/>
          <w:spacing w:val="0"/>
          <w:sz w:val="21"/>
          <w:szCs w:val="21"/>
          <w:shd w:fill="auto" w:val="clear"/>
        </w:rPr>
        <w:t>§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ustalają, że Najemca na rzecz Wynajmującego płacił będzie miesięcznie z dołu czynsz w wysokości ….................</w:t>
      </w:r>
      <w:r>
        <w:rPr>
          <w:rFonts w:eastAsia="Arial" w:cs="Arial" w:ascii="Times New Roman" w:hAnsi="Times New Roman"/>
          <w:b/>
          <w:bCs/>
          <w:color w:val="auto"/>
          <w:spacing w:val="0"/>
          <w:sz w:val="21"/>
          <w:szCs w:val="21"/>
          <w:shd w:fill="auto" w:val="clear"/>
        </w:rPr>
        <w:t xml:space="preserve"> zł.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(słownie: …..............................................)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Weryfikacja wysokości czynszu na zasadach opisanych w ust.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 tytułu przysługującego czynszu najmu Wynajmujący wystawiać będzie fakturę VAT.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……………………………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LibreOffice/6.2.1.2$Windows_x86 LibreOffice_project/7bcb35dc3024a62dea0caee87020152d1ee96e71</Application>
  <Pages>4</Pages>
  <Words>1240</Words>
  <Characters>8324</Characters>
  <CharactersWithSpaces>9504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2019-05-08T10:55:43Z</cp:lastPrinted>
  <dcterms:modified xsi:type="dcterms:W3CDTF">2020-07-07T11:06:18Z</dcterms:modified>
  <cp:revision>7</cp:revision>
  <dc:subject/>
  <dc:title/>
</cp:coreProperties>
</file>