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UMOWA NAJMU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zawarta w dniu …............... r. pomiędzy: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 xml:space="preserve">Szpitalem Powiatowym im. Jana Pawła II w Bartoszycach, 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ul. Wyszyńskiego 11, 11-200 Bartoszyce, reprezentowanym przez: Dyrektora Sławomira Wójcika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zwanym w dalszej części umowy </w:t>
      </w: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„Wynajmującym”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a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…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.......................................................................................................................................................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zwaną w treści umowy „</w:t>
      </w: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Najemcą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’’,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left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Zgodnie z procedurą określoną w Regulaminie przeprowadzania przetargów na najem i dzierżawę pomieszczeń i powierzchni użytkowych w Szpitalu Powiatowym im. Jana Pawła II w Bartoszycach, stanowiącym załącznik do Zarządzenia Nr 5/19 Dyrektora Szpitala Powiatowego im. Jana Pawła II w Bartoszycach z dnia 19.02.2019 , w następstwie przeprowadzenia pisemnego przetargu Strony zawierają umowę o następującej treści: </w:t>
      </w:r>
    </w:p>
    <w:p>
      <w:pPr>
        <w:pStyle w:val="Normal"/>
        <w:tabs>
          <w:tab w:val="clear" w:pos="709"/>
          <w:tab w:val="right" w:pos="9383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ab/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1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PRZEDMIOT NAJMU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oddaje a Najemca bierze do używania lokal/pomieszczenia zlokalizowane na ….............. budynku Wynajmującego w Bartoszycach przy ul. Wyszyńskiego 11  o łącznej powierzchni …..................... m2.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Pomieszczenia stanowiące przedmiot umowy wyposażone są w instalację elektryczną, C.O. i wodę.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zobowiązuje się wykorzystywać przedmiot najmu zgodnie z jego przeznaczeniem na cele: ….................................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Przejęcie przez Najemcę przedmiotu najmu nastąpi w dniu 01.05.2019  r. na podstawie protokołu zdawczo – odbiorczego, który będzie dołączony do umowy, stanowiąc jej integralną część. W protokole zdawczo–odbiorczym strony określą stan techniczny przedmiotu Umowy i stopień zużycia znajdujących się w nim instalacji i urządzeń, co zostanie potwierdzone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Zwrot przedmiotu najmu nastąpi na podstawie protokołu zdawczo–odbiorczego, sporządzonego przy współudziale Stron niniejszej Umowy, który zawierać będzie opis stanu technicznego oraz wyposażenia przedmiotu najmu  Protokół zostanie potwierdzony dokumentacją fotograficzną.</w:t>
      </w:r>
    </w:p>
    <w:p>
      <w:pPr>
        <w:pStyle w:val="Normal"/>
        <w:suppressAutoHyphens w:val="true"/>
        <w:spacing w:lineRule="exact" w:line="240" w:before="0" w:after="0"/>
        <w:ind w:left="72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2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OBOWIĄZKI NAJEMCY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        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1.  Do podstawowych obowiązków Najemcy należy: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prowadzenie bieżących napraw i drobnych remontów otrzymanych w najem pomieszczeń wraz z infrastrukturą;</w:t>
      </w:r>
    </w:p>
    <w:p>
      <w:pPr>
        <w:pStyle w:val="Normal"/>
        <w:suppressAutoHyphens w:val="true"/>
        <w:spacing w:lineRule="exact" w:line="240" w:before="0" w:after="0"/>
        <w:ind w:left="709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zawarcie we własnym zakresie umowy na świadczenie usług telekomunikacyjnych;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3) ubezpieczenie na własny koszt przedmiotu najmu w zakresie znajdujących się w nim przedmiotów oraz urządzeń od pożaru i innych zdarzeń losowych;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4) przestrzeganie w trakcie wykorzystywania przedmiotu najmu Przepisów BHP i Ppoż.;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5) dokonywanie rozliczeń finansowych z Wynajmującym w ustalonych terminach;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6)przekazanie Wynajmującemu w dniu rozwiązania umowy pomieszczenia/lokalu stanowiącego przedmiot niniejszej umowy w stanie niepogorszonym, z zastrzeżeniem, że nie ponosi on odpowiedzialności za jego zużycie będące następstwem zwykłego używania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7) udostępnienie Wynajmującemu przedmiotu najmu w celu przeprowadzenia kontroli sposobu jego używania, a także w celu dokonania przeglądu stanu technicznego, higieniczno – sanitarnego, przestrzegania obowiązujących przepisów i zarządzeń oraz ustalenia zakresu niezbędnych napraw. Udostępnienie Wynajmującemu przedmiotu najmu nastąpi w terminie wspólnie uzgodnionym z Najemcą, nie później jednak niż w ciągu 14 dni od dnia zgłoszenia zamiaru przeprowadzenia kontroli przez Wynajmującego;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8) powstrzymywanie się od prowadzenia działalności mającej charakter konkurencyjny w stosunku do świadczeń zdrowotnych udzielanych przez Wynajmującego.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9) Oddanie przez Najemcę przedmiotu najmu podmiotom trzecim w podnajem, bezpłatne używanie, dzierżawę, wymaga pisemnej zgody Wynajmującego. Brak zgody Wynajmującego nie wymaga uzasadnienia.</w:t>
      </w:r>
    </w:p>
    <w:p>
      <w:pPr>
        <w:pStyle w:val="Normal"/>
        <w:suppressAutoHyphens w:val="true"/>
        <w:spacing w:lineRule="exact" w:line="240" w:before="0" w:after="0"/>
        <w:ind w:left="710" w:right="0" w:hanging="71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ab/>
        <w:t>10) Najemca bez uprzedniej zgody Wynajmującego nie może dokonywać ulepszeń w Przedmiocie najmu.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3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OŚWIADCZENIA STRON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oświadcza, iż ma wyłączne prawo zarządzania, wynajmowania i korzystania z przedmiotu najmu opisanego w § 1 ust. 1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zezwala Najemcy na korzystanie z urządzeń sanitarnych i dróg dojazdowych niezbędnych do wykonywania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zastrzega sobie prawo do kontrolowania przez upoważnione osoby przestrzegania przez Najemcę postanowień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Za nieterminowe realizowanie zobowiązań finansowych będą naliczane odsetki ustawowe za opóźnienie w transakcjach handlowych.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oświadcza, że za zabezpieczenie przedmiotu najmu od kradzieży, klęsk żywiołowych, pożaru oraz wszelkich innych szkód z tym związanych, w okresie najmu nie ponosi odpowiedzialności a dozór oraz ubezpieczenia w tym zakresie Najemca winien załatwić odrębną umową z zakładem ubezpieczeniowym, którą przedłoży Wynajmującemu w terminie 14 dni od dnia zawarcia niniejszej umowy.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przejmuje na siebie pełną odpowiedzialność za swoją działalność oraz swoich pracowników, klientów i gości.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zobowiązuje się prowadzić swoją działalność w sposób nie zakłócający działalności innych Najemców.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Umieszczenie jakichkolwiek oznaczeń Najemcy bądź reklam na zewnątrz budynku oraz w miejscach przeznaczonych do wspólnego użytkowania wymaga uzyskania wcześniejszej pisemnej zgody Wynajmującego..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wyraża zgodę na adaptację pomieszczeń dla celów Najemcy po uprzednim zaakceptowaniu przedstawionego planu i zakresu robót. Ograniczenia te nie wyłączają obowiązku Najemcy do utrzymania przedmiotu umowy w stanie nie pogorszonym, wynikającym z normalnej jego eksploatacji, oraz przeprowadzania w tym celu niezbędnych remontów.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Nakłady związane z adaptacją przedmiotu najmu dokonane na podstawie dokumentacji zaakceptowanej przez Wynajmującego nie będą zwrócone Najemcy i stają się własnością Wynajmującego po upływie okresu obowiązywania umowy, a Najemca nie będzie żądał zapłaty sumy odpowiadającej wartości nakładów.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Strony zobowiązują się nawzajem do niezwłocznego informowania o zmianie danych objętych umową, w szczególności o zmianie adresów. W razie zaniedbania tego obowiązku pisma kierowane pod ostatnio znany adres uważa się za skutecznie doręczone po upływie 20 dni od daty nadania listem poleconym.</w:t>
      </w:r>
    </w:p>
    <w:p>
      <w:pPr>
        <w:pStyle w:val="Normal"/>
        <w:suppressAutoHyphens w:val="true"/>
        <w:spacing w:lineRule="exact" w:line="240" w:before="0" w:after="0"/>
        <w:ind w:left="354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4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CZAS TRWANIA UMOWY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Umowa zostaje zawarta na czas określony od dnia 01.05.2019 do dnia 30.04.202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 r.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Wynajmujący ma prawo rozwiązać niniejszą umowę z zachowaniem 2-miesięcznego okresu wypowiedzenia ze skutkiem na koniec miesiąca, dokonanego na piśmie pod rygorem nieważności w przypadku konieczności zagospodarowania wynajętego pomieszczenia przez Wynajmującego dla celów prowadzonej działalności.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ma prawo rozwiązać niniejszą umowę z zachowaniem 2-miesięcznego okresu wypowiedzenia ze skutkiem na koniec miesiąca, dokonanego na piśmie pod rygorem nieważności, w przypadku: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gdy przedmiot najmu posiada wady utrudniające korzystanie z niego, które pomimo uprzedniego pisemnego wezwania nie zostały przez Wynajmującego usunięte;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14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gdy działalność prowadzona przez Najemcę prowadzona jest ze stratą lub zyskiem nie przekraczającym minimalnego wynagrodzenia za pracę określonego rozporządzeniem Rady Ministrów na dzień składania wypowiedzenia.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Najemca zobowiązany jest do przedłożenia dokumentów potwierdzających wystąpienie okoliczności opisanej w ust. 3 pkt. 2).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Rozwiązanie umowy bez wypowiedzenia może nastąpić z inicjatywy Wynajmującego, jeżeli: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Najemca będzie zalegał z należnym czynszem najmu bądź opłatami eksploatacyjnymi za co najmniej dwa miesiące;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Najemca wykorzystywał będzie przedmiot najmu w sposób niezgodny z umową lub z jego przeznaczeniem;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spacing w:lineRule="exact" w:line="240" w:before="0" w:after="0"/>
        <w:ind w:left="108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3) Najemca nie przedłoży umowy ubezpieczenia w terminie określonym zgodnie z § 3 ust. 5.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 sytuacji opisanej w ust. 5 Najemca tracąc prawo do dalszego użytkowania przedmiotu najmu zobowiązany jest do wydania przedmiotu najmu w terminie wskazanym przez Wynajmującego.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W razie nieopróżnienia lokalu i niewydania lokalu po ustaniu stosunku najmu bez względu tryb jego ustania, Najemca będzie zobowiązany do zapłaty kary umownej w wysokości 7% kwoty miesięcznego czynszu brutto za każdy rozpoczęty dzień opóźnienia w wydaniu lokalu, w każdym przypadku nie wyższej niż 50.000,00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5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KARY UMOWNE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1. Najemca zapłaci Wynajmującemu kary umowne za: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1) nieprzedłożenie umowy ubezpieczenia w terminie określonym w § 3 ust. 5, w wysokości 200zł za każdy dzień opóźnienia, nie więcej niż 50.000,00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2) dokonanie ulepszeń w przedmiocie najmu bez uprzedniej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3) oddanie przedmiotu Umowy podmiotom trzecim w podnajem, bezpłatne używanie lub dzierżawę bez pisemnej zgody Wynajmującego, w wysokości 10.000 zł;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4) prowadzenie działalności mającej charakter konkurencyjny w stosunku do świadczeń zdrowotnych udzielanych przez Wynajmującego, w wysokości 10.000 zł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5) nieudostępnienie Wynajmującemu przedmiotu najmu do celów określonych w </w:t>
      </w:r>
      <w:r>
        <w:rPr>
          <w:rFonts w:eastAsia="Cambria" w:cs="Cambria" w:ascii="Times New Roman" w:hAnsi="Times New Roman"/>
          <w:color w:val="auto"/>
          <w:spacing w:val="0"/>
          <w:sz w:val="22"/>
          <w:shd w:fill="auto" w:val="clear"/>
        </w:rPr>
        <w:t>§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 2 ust. 7, w wysokości 3.000 zł za każdy przypadek;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2. Wynajmujący może dochodzić odszkodowania uzupełniającego, przewyższającego wysokość zastrzeżonych kar umownych na zasadach ogólnych.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6</w:t>
      </w:r>
    </w:p>
    <w:p>
      <w:pPr>
        <w:pStyle w:val="Normal"/>
        <w:keepNext w:val="true"/>
        <w:tabs>
          <w:tab w:val="clear" w:pos="709"/>
          <w:tab w:val="left" w:pos="0" w:leader="none"/>
        </w:tabs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PŁATNOŚCI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Strony ustalają, że Najemca na rzecz Wynajmującego płacił będzie miesięcznie z dołu czynsz w wysokości …..........zł. (słownie: …....................) netto + VAT w obowiązującej wysokości.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cs="Arial" w:ascii="Times New Roman" w:hAnsi="Times New Roman"/>
          <w:sz w:val="22"/>
          <w:szCs w:val="22"/>
        </w:rPr>
        <w:t>Najemca ponad czynsz określony w ust. 1 ponosił będzie także koszty eksploatacji przedmiotu najmu według poniższego zestawienia: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1) woda zimna, ciepła i odprowadzanie ścieków na podstawie odczytu podlicznika wg. stawek obowiązujących u dostawcy usługi powiększonych o podatek VAT; stawki nie mogą być niższe od rzeczywistych kosztów jednostkowych, które ponosi Wynajmujący na poszczególne świadczenia;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cs="Arial" w:ascii="Times New Roman" w:hAnsi="Times New Roman"/>
          <w:sz w:val="22"/>
          <w:szCs w:val="22"/>
        </w:rPr>
        <w:t>2) energia elektryczna rozliczana jest ryczałtowo na podstawie przyjętego przez Strony szacunkowego, miesięcznego zużycia tj. 410 kWh x stawka obowiązująca u dostawcy usługi powiększona o podatek VAT;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zCs w:val="22"/>
          <w:shd w:fill="auto" w:val="clear"/>
        </w:rPr>
        <w:t xml:space="preserve">3) odbiór odpadów komunalnych – 1 m3 x stawka obowiązująca u dostawcy usługi powiększona o podatek VAT. 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3. Opłaty o których mowa w ust. 2 będą naliczane przez Wynajmującego z dołu, a Najemca obowiązany będzie do ich zapłaty na podstawie faktury VAT wystawionej przez Wynajmującego w terminie 14 dni od dnia jej wystawienia na rachunek bankowy wskazany w fakturze lub w kasie Wynajmującego.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4. Wysokość czynszu ustalona w ust. 1 ulegać będzie raz w roku waloryzacji wskaźnikiem wzrostu cen towarów i usług ogłoszonym przez GUS za poprzedni rok.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5. Weryfikacja wysokości czynszu na zasadach opisanych w ust. 4 nie stanowi zmiany umowy wymagającej sporządzenia aneksu. Wynajmujący poinformuje Najemcę o nowej wysokości czynszu odrębnym pismem zawierającym kalkulację. 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6. Najemca oświadcza, że jest płatnikiem podatku od towarów i usług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7. Z tytułu przysługującego czynszu najmu Wynajmujący wystawiać będzie fakturę VAT.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36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8. Należność z tytułu czynszu płatna będzie w terminie 14 dni od dnia wystawienia faktury, w kasie głównej Wynajmującego w budynku przy ul. Wyszyńskiego 11 w Bartoszycach lub na konto bankowe Wynajmującego wskazane w fakturze.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 w:eastAsia="Arial" w:cs="Arial"/>
          <w:b/>
          <w:b/>
          <w:color w:val="auto"/>
          <w:spacing w:val="0"/>
          <w:sz w:val="22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§ 7</w:t>
      </w:r>
    </w:p>
    <w:p>
      <w:pPr>
        <w:pStyle w:val="Normal"/>
        <w:suppressAutoHyphens w:val="true"/>
        <w:spacing w:lineRule="exact" w:line="240" w:before="0" w:after="240"/>
        <w:ind w:left="0" w:right="0" w:hanging="0"/>
        <w:jc w:val="center"/>
        <w:rPr>
          <w:rFonts w:ascii="Times New Roman" w:hAnsi="Times New Roman"/>
        </w:rPr>
      </w:pPr>
      <w:r>
        <w:rPr>
          <w:rFonts w:eastAsia="Arial" w:cs="Arial" w:ascii="Times New Roman" w:hAnsi="Times New Roman"/>
          <w:b/>
          <w:color w:val="auto"/>
          <w:spacing w:val="0"/>
          <w:sz w:val="22"/>
          <w:shd w:fill="auto" w:val="clear"/>
        </w:rPr>
        <w:t>POSTANOWIENIA KOŃCOWE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Zmiany umowy wymagają formy pisemnej pod rygorem nieważności.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W sprawach nie unormowanych niniejszą umową zastosowanie mają odpowiednie przepisy Kodeksu Cywilnego.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Spory wynikające z niniejszej umowy rozstrzygać będzie sąd właściwy dla Wynajmującego.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720" w:leader="none"/>
        </w:tabs>
        <w:suppressAutoHyphens w:val="true"/>
        <w:spacing w:lineRule="exact" w:line="240" w:before="0" w:after="0"/>
        <w:ind w:left="720" w:right="0" w:hanging="36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Umowa niniejsza została spisana w dwóch jednobrzmiących egzemplarzach po jednym dla każdej ze stron.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</w:t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  <w:sz w:val="22"/>
        </w:rPr>
      </w:pPr>
      <w:r>
        <w:rPr>
          <w:rFonts w:eastAsia="Arial" w:cs="Arial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 xml:space="preserve">      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Za Wynajmującego:</w:t>
        <w:tab/>
        <w:tab/>
        <w:tab/>
        <w:tab/>
        <w:tab/>
        <w:tab/>
        <w:t xml:space="preserve">       Za Najemcę: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eastAsia="Arial" w:cs="Arial"/>
          <w:color w:val="auto"/>
          <w:spacing w:val="0"/>
          <w:sz w:val="22"/>
        </w:rPr>
      </w:pPr>
      <w:r>
        <w:rPr>
          <w:rFonts w:eastAsia="Arial" w:cs="Arial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……………………………</w:t>
      </w:r>
      <w:r>
        <w:rPr>
          <w:rFonts w:eastAsia="Arial" w:cs="Arial" w:ascii="Times New Roman" w:hAnsi="Times New Roman"/>
          <w:color w:val="auto"/>
          <w:spacing w:val="0"/>
          <w:sz w:val="22"/>
          <w:shd w:fill="auto" w:val="clear"/>
        </w:rPr>
        <w:t>..</w:t>
        <w:tab/>
        <w:tab/>
        <w:tab/>
        <w:tab/>
        <w:tab/>
        <w:t>…………………………...</w:t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firstLine="708"/>
        <w:jc w:val="both"/>
        <w:rPr>
          <w:rFonts w:ascii="Times New Roman" w:hAnsi="Times New Roman" w:eastAsia="Arial" w:cs="Arial"/>
          <w:color w:val="auto"/>
          <w:spacing w:val="0"/>
          <w:sz w:val="22"/>
        </w:rPr>
      </w:pPr>
      <w:r>
        <w:rPr>
          <w:rFonts w:eastAsia="Arial" w:cs="Arial" w:ascii="Times New Roman" w:hAnsi="Times New Roman"/>
          <w:color w:val="auto"/>
          <w:spacing w:val="0"/>
          <w:sz w:val="22"/>
        </w:rPr>
      </w:r>
    </w:p>
    <w:p>
      <w:pPr>
        <w:pStyle w:val="Normal"/>
        <w:suppressAutoHyphens w:val="true"/>
        <w:spacing w:lineRule="exact" w:line="240" w:before="0" w:after="0"/>
        <w:ind w:left="0" w:right="0" w:hanging="0"/>
        <w:jc w:val="both"/>
        <w:rPr/>
      </w:pPr>
      <w:r>
        <w:rPr/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Calibri" w:hAnsi="Calibri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WW8Num9z0">
    <w:name w:val="WW8Num9z0"/>
    <w:qFormat/>
    <w:rPr>
      <w:rFonts w:ascii="Arial" w:hAnsi="Arial" w:cs="Arial"/>
      <w:bCs/>
      <w:spacing w:val="-16"/>
      <w:sz w:val="22"/>
      <w:szCs w:val="22"/>
    </w:rPr>
  </w:style>
  <w:style w:type="character" w:styleId="WW8Num8z0">
    <w:name w:val="WW8Num8z0"/>
    <w:qFormat/>
    <w:rPr>
      <w:rFonts w:ascii="Arial" w:hAnsi="Arial" w:cs="Arial"/>
      <w:sz w:val="22"/>
      <w:szCs w:val="22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WW8Num9">
    <w:name w:val="WW8Num9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LibreOffice/6.2.1.2$Windows_x86 LibreOffice_project/7bcb35dc3024a62dea0caee87020152d1ee96e71</Application>
  <Pages>4</Pages>
  <Words>1483</Words>
  <Characters>9769</Characters>
  <CharactersWithSpaces>11192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2019-04-25T09:48:34Z</dcterms:modified>
  <cp:revision>4</cp:revision>
  <dc:subject/>
  <dc:title/>
</cp:coreProperties>
</file>