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UMOWA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 xml:space="preserve">Szpitalem Powiatowym im. Jana Pawła II w Bartoszycach,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ul. Wyszyńskiego 11, 11-200 Bartoszyce, reprezentowanym przez: Dyrektora Sławomira Wójcika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Najemcą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Zgodnie z procedurą określoną w Regulaminie przeprowadzania przetargów na najem i dzierżawę pomieszczeń i powierzchni użytkowych w Szpitalu Powiatowym im. Jana Pawła II w Bartoszycach, stanowiącym załącznik do Zarządzenia Nr 5/19 Dyrektora Szpitala Powiatowego im. Jana Pawła II w Bartoszycach z dnia 19.02.2019 , w następstwie przeprowadzenia pisemnego przetargu Strony zawierają umowę o następującej treści: </w:t>
      </w:r>
    </w:p>
    <w:p>
      <w:pPr>
        <w:pStyle w:val="Normal"/>
        <w:tabs>
          <w:tab w:val="clear" w:pos="709"/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PRZEDMIOT NAJMU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oddaje a Najemca bierze do używania lokal/pomieszczenia zlokalizowane na ….............. budynku Wynajmującego w Bartoszycach przy ul. Wyszyńskiego 11  o łącznej powierzchni 160 m2.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Pomieszczenia stanowiące przedmiot umowy wyposażone są w instalację elektryczną, C.O. i wodę.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zobowiązuje się wykorzystywać przedmiot najmu zgodnie z jego przeznaczeniem na cele: prowadzenie pracowni rezonansu magnetycznego.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Przejęcie przez Najemcę przedmiotu najmu nastąpi w dniu 01.05.2019  r. na podstawie protokołu zdawczo – odbiorczego, który będzie dołączony do umowy, stanowiąc jej integralną część. W protokole zdawczo–odbiorczym strony określą stan techniczny przedmiotu Umowy i stopień zużycia znajdujących się w nim instalacji i urządzeń, co zostanie potwierdzone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  Protokół zostanie potwierdzony dokumentacją fotograficzną.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 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prowadzenie bieżących napraw i drobnych remontów otrzymanych w najem pomieszczeń wraz z infrastrukturą;</w:t>
      </w:r>
    </w:p>
    <w:p>
      <w:pPr>
        <w:pStyle w:val="Normal"/>
        <w:suppressAutoHyphens w:val="true"/>
        <w:spacing w:lineRule="exact" w:line="240" w:before="0" w:after="0"/>
        <w:ind w:left="709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zawarcie we własnym zakresie umowy na świadczenie usług telekomunikacyjnych;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3)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4) przestrzeganie w trakcie wykorzystywania przedmiotu najmu Przepisów BHP i Ppoż.;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5)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6)przekazanie Wynajmującemu w dniu rozwiązania umowy pomieszczenia/lokalu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7) udostępnienie Wynajmującemu przedmiotu najmu w celu przeprowadzenia kontroli sposobu jego używania, a także w celu dokonania przeglądu stanu technicznego, higieniczno – sanitarnego,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ab/>
        <w:t>8)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9)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10)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73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11) </w:t>
      </w:r>
      <w:r>
        <w:rPr>
          <w:rFonts w:eastAsia="Arial" w:cs="Times New Roman" w:ascii="Times New Roman" w:hAnsi="Times New Roman"/>
          <w:b w:val="false"/>
          <w:bCs w:val="false"/>
          <w:color w:val="auto"/>
          <w:spacing w:val="0"/>
          <w:sz w:val="21"/>
          <w:szCs w:val="21"/>
          <w:shd w:fill="auto" w:val="clear"/>
        </w:rPr>
        <w:t>dostosowanie pomieszczeń do wewnętrznych ciągów komunikacyjnych budynku A1 Wynajmującego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OŚWIADCZENIA STRON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zezwala Najemcy na korzystanie z urządzeń sanitarnych i dróg dojazdowych niezbędnych do wykonywania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zobowiązuje się prowadzić swoją działalność w sposób nie zakłócający działalności innych Najemców.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wyraża zgodę na adaptację pomieszczeń dla celów Najemcy po uprzednim zaakceptowaniu przedstawionego planu i zakresu robót. Ograniczenia te nie wyłączają obowiązku Najemcy do utrzymania przedmiotu umowy w stanie nie pogorszonym, wynikającym z normalnej jego eksploatacji, oraz przeprowadzania w tym celu niezbędnych remontów.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CZAS TRWANIA UMOWY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Umowa zostaje zawarta na czas określony od dnia 01.05.2019 do dnia 30.04.2027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Wynajmujący ma prawo rozwiązać niniejszą umowę z zachowaniem 2-miesięcznego okresu wypowiedzenia ze skutkiem na koniec miesiąca, dokonanego na piśmie pod rygorem nieważności.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gdy działalność prowadzona przez Najemcę prowadzona jest ze stratą lub zyskiem nie przekraczającym minimalnego wynagrodzenia za pracę określonego rozporządzeniem Rady Ministrów na dzień składania wypowiedzenia.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zobowiązany jest do przedłożenia dokumentów potwierdzających wystąpienie okoliczności opisanej w ust. 3 pkt. 2).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W razie nieopróżnienia lokalu i niewydania lokalu po ustaniu stosunku najmu bez względu tryb jego ustania, Najemca będzie zobowiązany do zapłaty kary umownej w wysokości 7% kwoty miesięcznego czynszu brutto za każdy rozpoczęty dzień opóźnienia w wydaniu lokalu, w każdym przypadku nie wyższej niż 50.000,00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1) nieprzedłożenie umowy ubezpieczenia w terminie określonym w § 3 ust. 5, w wysokości 200zł za każdy dzień opóźnienia, nie więcej niż 50.000,00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auto"/>
          <w:spacing w:val="0"/>
          <w:sz w:val="21"/>
          <w:szCs w:val="21"/>
          <w:shd w:fill="auto" w:val="clear"/>
        </w:rPr>
        <w:t>§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 2 ust. 7, w wysokości 3.000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6</w:t>
      </w:r>
    </w:p>
    <w:p>
      <w:pPr>
        <w:pStyle w:val="Normal"/>
        <w:keepNext w:val="true"/>
        <w:tabs>
          <w:tab w:val="clear" w:pos="709"/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PŁATNOŚCI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Strony ustalają, że Najemca na rzecz Wynajmującego płacił będzie miesięcznie z dołu czynsz w wysokości …..........zł. (słownie: …....................) netto + VAT w obowiązującej wysokości.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283" w:right="0" w:hanging="34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Najemca ponad czynsz określony w ust. 1 ponosił będzie także koszty eksploatacji przedmiotu najmu według poniższego zestawienia: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1) woda zimna, ciepła i odprowadzanie ścieków na podstawie odczytu podlicznika wg. stawek obowiązujących u dostawcy usługi powiększonych o podatek VAT; stawki nie mogą być niższe od rzeczywistych kosztów jednostkowych, które ponosi Wynajmujący na poszczególne świadczenia. Najemca dokona zakupu i montażu liczników na własny koszt, montaż może nastąpić po uprzednim uzgodnieniu z Działem Technicznym Szpitala. Jednakże do czasu montażu podliczników woda zimna, ciepła i odprowadzanie ścieków będzie rozliczana  ryczałtowo na podstawie przyjętego przez Strony szacunkowego miesięcznego zużycia tj. 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a) 8  m3- woda zimna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b) 2  m3- woda ciepła</w:t>
      </w: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c) 10 m3-odprowadzanie ścieków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>2) energia elektryczna na podstawie odczytu podlicznika wg. stawek obowiązujących u dostawcy usługi powiększonych o podatek VAT; stawki nie mogą być niższe od rzeczywistych kosztów jednostkowych, które ponosi Wynajmujący na poszczególne świadczenia. Najemca dokona zakupu i montażu liczników na własny koszt, montaż może nastąpić po uprzednim uzgodnieniu z Działem Technicznym Szpitala. Jednakże do czasu montażu podliczników energia rozliczana będzie ryczałtowo na podstawie przyjętego przez Strony szacunkowego miesięcznego zużycia tj. 200 kWh x stawka obowiązująca u dostawcy usługi powiększona o podatek VAT;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color w:val="C9211E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3) odbiór odpadów komunalnych – 1,5 m3 x stawka obowiązująca u dostawcy usługi powiększona o podatek VAT.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color w:val="C9211E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Najemca zobowiązany jest poinformować Wynajmującego o dokonaniu montażu wszystkich podliczników, o których mowa w ust. 2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57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3. Opłaty o których mowa w ust. 2 będą naliczane przez Wynajmującego z dołu, a Najemca obowiązany będzie do ich zapłaty na podstawie faktury VAT wystawionej przez Wynajmującego w terminie 14 dni od dnia jej wystawienia na rachunek bankowy wskazany w fakturze lub w kasie Wynajmującego.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4.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5.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8. Należność z tytułu czynszu płatna będzie w terminie 14 dni od dnia wystawienia faktury, w kasie głównej Wynajmującego w budynku przy ul. Wyszyńskiego 11 w Bartoszycach lub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b/>
          <w:color w:val="auto"/>
          <w:spacing w:val="0"/>
          <w:sz w:val="21"/>
          <w:szCs w:val="21"/>
          <w:shd w:fill="auto" w:val="clear"/>
        </w:rPr>
        <w:t>POSTANOWIENIA KOŃCOWE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auto"/>
          <w:spacing w:val="0"/>
        </w:rPr>
      </w:pPr>
      <w:r>
        <w:rPr>
          <w:rFonts w:eastAsia="Arial" w:cs="Arial"/>
          <w:color w:val="auto"/>
          <w:spacing w:val="0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auto"/>
          <w:spacing w:val="0"/>
          <w:sz w:val="21"/>
          <w:szCs w:val="21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auto"/>
          <w:spacing w:val="0"/>
          <w:sz w:val="21"/>
          <w:szCs w:val="21"/>
        </w:rPr>
      </w:pPr>
      <w:r>
        <w:rPr>
          <w:rFonts w:eastAsia="Arial" w:cs="Arial" w:ascii="Times New Roman" w:hAnsi="Times New Roman"/>
          <w:color w:val="auto"/>
          <w:spacing w:val="0"/>
          <w:sz w:val="21"/>
          <w:szCs w:val="21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LibreOffice/6.2.1.2$Windows_x86 LibreOffice_project/7bcb35dc3024a62dea0caee87020152d1ee96e71</Application>
  <Pages>5</Pages>
  <Words>1610</Words>
  <Characters>10535</Characters>
  <CharactersWithSpaces>12082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2019-04-19T09:08:11Z</cp:lastPrinted>
  <dcterms:modified xsi:type="dcterms:W3CDTF">2019-04-19T09:08:18Z</dcterms:modified>
  <cp:revision>4</cp:revision>
  <dc:subject/>
  <dc:title/>
</cp:coreProperties>
</file>