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Ogłoszenie o przetargu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114" w:after="114"/>
        <w:jc w:val="both"/>
        <w:rPr/>
      </w:pPr>
      <w:r>
        <w:rPr>
          <w:rFonts w:ascii="Times New Roman" w:hAnsi="Times New Roman"/>
        </w:rPr>
        <w:t xml:space="preserve">Dyrektor Szpitala Powiatowego im. Jana Pawła II w Bartoszycach ogłasza przetarg na najem </w:t>
      </w:r>
      <w:r>
        <w:rPr>
          <w:rFonts w:eastAsia="Tahoma" w:cs="Tahoma" w:ascii="Times New Roman" w:hAnsi="Times New Roman"/>
        </w:rPr>
        <w:t>8 pomieszczeń zlokalizowanych na parterze budynku Szpitala o łącznej powierzchni</w:t>
        <w:br/>
        <w:t>124,61 m</w:t>
      </w:r>
      <w:r>
        <w:rPr>
          <w:rFonts w:eastAsia="Tahoma" w:cs="Tahoma" w:ascii="Times New Roman" w:hAnsi="Times New Roman"/>
          <w:vertAlign w:val="superscript"/>
        </w:rPr>
        <w:t>2</w:t>
      </w:r>
      <w:r>
        <w:rPr>
          <w:rFonts w:eastAsia="Tahoma" w:cs="Tahoma" w:ascii="Times New Roman" w:hAnsi="Times New Roman"/>
        </w:rPr>
        <w:t xml:space="preserve"> (brak możliwości składania ofert częściowych) z przeznaczeniem na udzielanie świadczeń zdrowotnych. </w:t>
      </w:r>
    </w:p>
    <w:tbl>
      <w:tblPr>
        <w:tblW w:w="4020" w:type="dxa"/>
        <w:jc w:val="start"/>
        <w:tblInd w:w="198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89"/>
        <w:gridCol w:w="1531"/>
      </w:tblGrid>
      <w:tr>
        <w:trPr/>
        <w:tc>
          <w:tcPr>
            <w:tcW w:w="2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both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 xml:space="preserve">Pomieszczenie/ lokal nr </w:t>
            </w:r>
          </w:p>
        </w:tc>
        <w:tc>
          <w:tcPr>
            <w:tcW w:w="1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spacing w:before="57" w:after="57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Liczba m</w:t>
            </w:r>
            <w:r>
              <w:rPr>
                <w:rFonts w:eastAsia="Tahoma" w:cs="Tahoma" w:ascii="Times New Roman" w:hAnsi="Times New Roman"/>
                <w:vertAlign w:val="superscript"/>
              </w:rPr>
              <w:t>2</w:t>
            </w:r>
          </w:p>
        </w:tc>
      </w:tr>
      <w:tr>
        <w:trPr>
          <w:trHeight w:val="348" w:hRule="atLeast"/>
        </w:trPr>
        <w:tc>
          <w:tcPr>
            <w:tcW w:w="24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1</w:t>
            </w:r>
          </w:p>
        </w:tc>
        <w:tc>
          <w:tcPr>
            <w:tcW w:w="15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16,65</w:t>
            </w:r>
          </w:p>
        </w:tc>
      </w:tr>
      <w:tr>
        <w:trPr/>
        <w:tc>
          <w:tcPr>
            <w:tcW w:w="24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2</w:t>
            </w:r>
          </w:p>
        </w:tc>
        <w:tc>
          <w:tcPr>
            <w:tcW w:w="15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12,4</w:t>
            </w:r>
          </w:p>
        </w:tc>
      </w:tr>
      <w:tr>
        <w:trPr/>
        <w:tc>
          <w:tcPr>
            <w:tcW w:w="24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11</w:t>
            </w:r>
          </w:p>
        </w:tc>
        <w:tc>
          <w:tcPr>
            <w:tcW w:w="15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12,25</w:t>
            </w:r>
          </w:p>
        </w:tc>
      </w:tr>
      <w:tr>
        <w:trPr/>
        <w:tc>
          <w:tcPr>
            <w:tcW w:w="24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21</w:t>
            </w:r>
          </w:p>
        </w:tc>
        <w:tc>
          <w:tcPr>
            <w:tcW w:w="15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15,18</w:t>
            </w:r>
          </w:p>
        </w:tc>
      </w:tr>
      <w:tr>
        <w:trPr/>
        <w:tc>
          <w:tcPr>
            <w:tcW w:w="24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22</w:t>
            </w:r>
          </w:p>
        </w:tc>
        <w:tc>
          <w:tcPr>
            <w:tcW w:w="15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32,37</w:t>
            </w:r>
          </w:p>
        </w:tc>
      </w:tr>
      <w:tr>
        <w:trPr/>
        <w:tc>
          <w:tcPr>
            <w:tcW w:w="24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25</w:t>
            </w:r>
          </w:p>
        </w:tc>
        <w:tc>
          <w:tcPr>
            <w:tcW w:w="15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15,36</w:t>
            </w:r>
          </w:p>
        </w:tc>
      </w:tr>
      <w:tr>
        <w:trPr/>
        <w:tc>
          <w:tcPr>
            <w:tcW w:w="24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26</w:t>
            </w:r>
          </w:p>
        </w:tc>
        <w:tc>
          <w:tcPr>
            <w:tcW w:w="15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14,4</w:t>
            </w:r>
          </w:p>
        </w:tc>
      </w:tr>
      <w:tr>
        <w:trPr>
          <w:trHeight w:val="349" w:hRule="atLeast"/>
        </w:trPr>
        <w:tc>
          <w:tcPr>
            <w:tcW w:w="24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both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Archiwum</w:t>
            </w:r>
          </w:p>
        </w:tc>
        <w:tc>
          <w:tcPr>
            <w:tcW w:w="15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  <w:t>6</w:t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4678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</w:rPr>
        <w:t xml:space="preserve">Regulamin przeprowadzania przetargów na najem i dzierżawę nieruchomości Szpitala Powiatowego im. Jana Pawła II w Bartoszycach można odebrać osobiście w siedzibie szpitala lub pobrać ze strony </w:t>
      </w:r>
      <w:hyperlink r:id="rId2">
        <w:r>
          <w:rPr>
            <w:rStyle w:val="Hyperlink"/>
            <w:rFonts w:ascii="Times New Roman" w:hAnsi="Times New Roman"/>
          </w:rPr>
          <w:t>www.szpital-bartoszyce.pl</w:t>
        </w:r>
      </w:hyperlink>
      <w:r>
        <w:rPr>
          <w:rStyle w:val="Hyperlink"/>
          <w:rFonts w:ascii="Times New Roman" w:hAnsi="Times New Roman"/>
        </w:rPr>
        <w:t xml:space="preserve">.- </w:t>
      </w:r>
      <w:r>
        <w:rPr>
          <w:rStyle w:val="Hyperlink"/>
          <w:rFonts w:ascii="Times New Roman" w:hAnsi="Times New Roman"/>
          <w:color w:val="000000"/>
          <w:u w:val="none"/>
        </w:rPr>
        <w:t>ogłoszenia - dzierżawa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</w:rPr>
        <w:t xml:space="preserve">Umowa zostanie zawarta na okres </w:t>
      </w:r>
      <w:r>
        <w:rPr>
          <w:rFonts w:ascii="Times New Roman" w:hAnsi="Times New Roman"/>
          <w:shd w:fill="auto" w:val="clear"/>
        </w:rPr>
        <w:t xml:space="preserve">od </w:t>
      </w:r>
      <w:r>
        <w:rPr>
          <w:rFonts w:ascii="Times New Roman" w:hAnsi="Times New Roman"/>
          <w:b/>
          <w:bCs/>
          <w:shd w:fill="auto" w:val="clear"/>
        </w:rPr>
        <w:t>01</w:t>
      </w:r>
      <w:r>
        <w:rPr>
          <w:rFonts w:cs="Tahoma" w:ascii="Times New Roman" w:hAnsi="Times New Roman"/>
          <w:b/>
          <w:bCs/>
          <w:shd w:fill="auto" w:val="clear"/>
          <w:lang w:bidi="zxx"/>
        </w:rPr>
        <w:t>.05.2026</w:t>
      </w:r>
      <w:r>
        <w:rPr>
          <w:rFonts w:ascii="Times New Roman" w:hAnsi="Times New Roman"/>
          <w:b/>
          <w:bCs/>
          <w:shd w:fill="auto" w:val="clear"/>
        </w:rPr>
        <w:t xml:space="preserve"> r. do 30.04.2029 r.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ahoma" w:cs="Tahoma"/>
          <w:shd w:fill="FFFFFF" w:val="clear"/>
        </w:rPr>
      </w:pPr>
      <w:r>
        <w:rPr>
          <w:rFonts w:eastAsia="Tahoma" w:cs="Tahoma" w:ascii="Times New Roman" w:hAnsi="Times New Roman"/>
          <w:shd w:fill="FFFFFF" w:val="clear"/>
        </w:rPr>
        <w:t>Wywoławczą (minimalną) wysokość stawki czynszu z tytułu najmu lub dzierżawy określa się na następującym poziomie: w stosunku do nieruchomości przeznaczonych na prowadzenie działalności innej niż wskazana w pkt 1):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567" w:leader="none"/>
        </w:tabs>
        <w:suppressAutoHyphens w:val="true"/>
        <w:bidi w:val="0"/>
        <w:spacing w:lineRule="auto" w:line="276" w:before="0" w:after="0"/>
        <w:ind w:hanging="283" w:start="567" w:end="0"/>
        <w:jc w:val="both"/>
        <w:rPr/>
      </w:pPr>
      <w:r>
        <w:rPr>
          <w:rFonts w:eastAsia="Tahoma" w:cs="Tahoma" w:ascii="Times New Roman" w:hAnsi="Times New Roman"/>
          <w:b/>
          <w:bCs/>
          <w:highlight w:val="white"/>
        </w:rPr>
        <w:t>63 zł netto za m</w:t>
      </w:r>
      <w:r>
        <w:rPr>
          <w:rFonts w:eastAsia="Tahoma" w:cs="Tahoma" w:ascii="Times New Roman" w:hAnsi="Times New Roman"/>
          <w:b/>
          <w:bCs/>
          <w:highlight w:val="white"/>
          <w:vertAlign w:val="superscript"/>
        </w:rPr>
        <w:t xml:space="preserve">2 </w:t>
      </w:r>
      <w:r>
        <w:rPr>
          <w:rFonts w:eastAsia="Tahoma" w:cs="Tahoma" w:ascii="Times New Roman" w:hAnsi="Times New Roman"/>
          <w:highlight w:val="white"/>
        </w:rPr>
        <w:t>– pomieszczenia przeznaczone na gabinety lekarskie i zabiegowe;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567" w:leader="none"/>
        </w:tabs>
        <w:suppressAutoHyphens w:val="true"/>
        <w:bidi w:val="0"/>
        <w:spacing w:lineRule="auto" w:line="276" w:before="0" w:after="0"/>
        <w:ind w:hanging="283" w:start="567" w:end="0"/>
        <w:jc w:val="both"/>
        <w:rPr/>
      </w:pPr>
      <w:r>
        <w:rPr>
          <w:rFonts w:eastAsia="Tahoma" w:cs="Tahoma" w:ascii="Times New Roman" w:hAnsi="Times New Roman"/>
          <w:b/>
          <w:bCs/>
          <w:highlight w:val="white"/>
        </w:rPr>
        <w:t>48 zł netto za m</w:t>
      </w:r>
      <w:r>
        <w:rPr>
          <w:rFonts w:eastAsia="Tahoma" w:cs="Tahoma" w:ascii="Times New Roman" w:hAnsi="Times New Roman"/>
          <w:b/>
          <w:bCs/>
          <w:highlight w:val="white"/>
          <w:vertAlign w:val="superscript"/>
        </w:rPr>
        <w:t>2</w:t>
      </w:r>
      <w:r>
        <w:rPr>
          <w:rFonts w:eastAsia="Tahoma" w:cs="Tahoma" w:ascii="Times New Roman" w:hAnsi="Times New Roman"/>
          <w:highlight w:val="white"/>
        </w:rPr>
        <w:t xml:space="preserve"> – hole, łazienki, rejestracje, archiwa, pomieszczenia gospodarcze, socjalne;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567" w:leader="none"/>
        </w:tabs>
        <w:suppressAutoHyphens w:val="true"/>
        <w:bidi w:val="0"/>
        <w:spacing w:lineRule="auto" w:line="276" w:before="0" w:after="0"/>
        <w:ind w:hanging="283" w:start="567" w:end="0"/>
        <w:jc w:val="both"/>
        <w:rPr/>
      </w:pPr>
      <w:r>
        <w:rPr>
          <w:rFonts w:ascii="Times New Roman" w:hAnsi="Times New Roman"/>
          <w:b/>
          <w:bCs/>
          <w:highlight w:val="white"/>
        </w:rPr>
        <w:t>37 zł netto za m</w:t>
      </w:r>
      <w:r>
        <w:rPr>
          <w:rFonts w:ascii="Times New Roman" w:hAnsi="Times New Roman"/>
          <w:b/>
          <w:bCs/>
          <w:highlight w:val="white"/>
          <w:vertAlign w:val="superscript"/>
        </w:rPr>
        <w:t>2</w:t>
      </w:r>
      <w:r>
        <w:rPr>
          <w:rFonts w:ascii="Times New Roman" w:hAnsi="Times New Roman"/>
          <w:highlight w:val="white"/>
        </w:rPr>
        <w:t xml:space="preserve"> – powierzchnie wspólne (20 % powierzchni wskazanej w pkt 1 lit. a), b)). 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</w:rPr>
        <w:t>Szpital Powiatowy zastrzega sobie prawo do odwołania przetargu, oraz przesunięcia terminu składania ofert i ich rozstrzygnięcia, bez podania przyczyny.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</w:rPr>
        <w:t>Oferty w zamkniętych kopertach i oznakowanych napisem „Przetarg - najem pomieszczeń o powierzchni 124,61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z przeznaczeniem na prowadzenie świadczeń zdrowotnych” należy składać do </w:t>
      </w:r>
      <w:r>
        <w:rPr>
          <w:rFonts w:ascii="Times New Roman" w:hAnsi="Times New Roman"/>
          <w:b/>
          <w:bCs/>
        </w:rPr>
        <w:t>27</w:t>
      </w:r>
      <w:r>
        <w:rPr>
          <w:rFonts w:ascii="Times New Roman" w:hAnsi="Times New Roman"/>
          <w:b/>
          <w:bCs/>
          <w:shd w:fill="auto" w:val="clear"/>
        </w:rPr>
        <w:t>.04.2026</w:t>
      </w:r>
      <w:r>
        <w:rPr>
          <w:rFonts w:cs="Tahoma" w:ascii="Times New Roman" w:hAnsi="Times New Roman"/>
          <w:b/>
          <w:bCs/>
          <w:shd w:fill="auto" w:val="clear"/>
          <w:lang w:bidi="zxx"/>
        </w:rPr>
        <w:t xml:space="preserve"> </w:t>
      </w:r>
      <w:r>
        <w:rPr>
          <w:rFonts w:ascii="Times New Roman" w:hAnsi="Times New Roman"/>
          <w:b/>
          <w:bCs/>
          <w:shd w:fill="auto" w:val="clear"/>
        </w:rPr>
        <w:t>r</w:t>
      </w:r>
      <w:r>
        <w:rPr>
          <w:rFonts w:ascii="Times New Roman" w:hAnsi="Times New Roman"/>
          <w:shd w:fill="auto" w:val="clear"/>
        </w:rPr>
        <w:t>.</w:t>
      </w:r>
      <w:r>
        <w:rPr>
          <w:rFonts w:ascii="Times New Roman" w:hAnsi="Times New Roman"/>
        </w:rPr>
        <w:t xml:space="preserve"> do godz. 13:00 w sekretariacie Szpitala.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</w:rPr>
        <w:t>Oferty należy składać na udostępnionym w siedzibie Udzielającego zamówienie formularzu.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</w:rPr>
        <w:t xml:space="preserve">Otwarcie odbędzie się o godz. 13:30 w dniu upływu terminu składania ofert w siedzibie Szpitala, </w:t>
        <w:br/>
        <w:t xml:space="preserve">w części administracyjnej, pok. nr A9. 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</w:rPr>
        <w:t xml:space="preserve">Wynik postępowania zostanie umieszczony na stronie internetowej szpitala i tablicy ogłoszeń </w:t>
        <w:br/>
        <w:t xml:space="preserve">do dnia </w:t>
      </w:r>
      <w:r>
        <w:rPr>
          <w:rFonts w:ascii="Times New Roman" w:hAnsi="Times New Roman"/>
          <w:b/>
          <w:bCs/>
        </w:rPr>
        <w:t>28.04</w:t>
      </w:r>
      <w:r>
        <w:rPr>
          <w:rFonts w:cs="Tahoma" w:ascii="Times New Roman" w:hAnsi="Times New Roman"/>
          <w:b/>
          <w:bCs/>
          <w:shd w:fill="auto" w:val="clear"/>
          <w:lang w:bidi="zxx"/>
        </w:rPr>
        <w:t xml:space="preserve">.2026 </w:t>
      </w:r>
      <w:r>
        <w:rPr>
          <w:rFonts w:ascii="Times New Roman" w:hAnsi="Times New Roman"/>
          <w:b/>
          <w:bCs/>
          <w:shd w:fill="auto" w:val="clear"/>
        </w:rPr>
        <w:t>r.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</w:rPr>
        <w:t>Strony są związane ofertą 30 dni od dnia upływu terminu składania ofert.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</w:rPr>
        <w:t>Szczegółowe informację można uzyskać pod numerem tel. 089 675 23 20.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Sporządziła: Justyna Bestecka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720"/>
        </w:tabs>
        <w:ind w:start="1500" w:hanging="360"/>
      </w:pPr>
      <w:rPr/>
    </w:lvl>
    <w:lvl w:ilvl="1">
      <w:start w:val="1"/>
      <w:numFmt w:val="bullet"/>
      <w:lvlText w:val=""/>
      <w:lvlJc w:val="start"/>
      <w:pPr>
        <w:tabs>
          <w:tab w:val="num" w:pos="1080"/>
        </w:tabs>
        <w:ind w:star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start"/>
      <w:pPr>
        <w:tabs>
          <w:tab w:val="num" w:pos="1440"/>
        </w:tabs>
        <w:ind w:star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start"/>
      <w:pPr>
        <w:tabs>
          <w:tab w:val="num" w:pos="1800"/>
        </w:tabs>
        <w:ind w:star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start"/>
      <w:pPr>
        <w:tabs>
          <w:tab w:val="num" w:pos="2160"/>
        </w:tabs>
        <w:ind w:star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start"/>
      <w:pPr>
        <w:tabs>
          <w:tab w:val="num" w:pos="2520"/>
        </w:tabs>
        <w:ind w:star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start"/>
      <w:pPr>
        <w:tabs>
          <w:tab w:val="num" w:pos="2880"/>
        </w:tabs>
        <w:ind w:star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start"/>
      <w:pPr>
        <w:tabs>
          <w:tab w:val="num" w:pos="3240"/>
        </w:tabs>
        <w:ind w:star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start"/>
      <w:pPr>
        <w:tabs>
          <w:tab w:val="num" w:pos="3600"/>
        </w:tabs>
        <w:ind w:star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bCs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Domylnaczcionkaakapitu">
    <w:name w:val="Domyślna czcionka akapitu"/>
    <w:qFormat/>
    <w:rPr/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Tahoma" w:hAnsi="Tahoma" w:cs="0"/>
      <w:sz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zpital-bartoszyce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365</TotalTime>
  <Application>LibreOffice/25.8.5.2$Windows_X86_64 LibreOffice_project/9c8b85f387cc00a89945a79c9e6239f32e450ac2</Application>
  <AppVersion>15.0000</AppVersion>
  <Pages>1</Pages>
  <Words>297</Words>
  <Characters>1804</Characters>
  <CharactersWithSpaces>2074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2026-02-23T11:26:38Z</dcterms:created>
  <dc:creator/>
  <dc:description/>
  <dc:language>pl-PL</dc:language>
  <cp:lastModifiedBy/>
  <cp:lastPrinted>2026-04-16T08:14:33Z</cp:lastPrinted>
  <dcterms:modified xsi:type="dcterms:W3CDTF">2026-04-16T08:14:47Z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